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02" w:rsidRDefault="00186302" w:rsidP="00C5208F">
      <w:pPr>
        <w:ind w:left="1843" w:right="1983"/>
        <w:jc w:val="both"/>
        <w:rPr>
          <w:rFonts w:ascii="Tahoma" w:hAnsi="Tahoma" w:cs="Tahoma"/>
          <w:b/>
          <w:i/>
          <w:sz w:val="20"/>
          <w:szCs w:val="20"/>
        </w:rPr>
      </w:pPr>
    </w:p>
    <w:p w:rsidR="00186302" w:rsidRDefault="00186302" w:rsidP="00C5208F">
      <w:pPr>
        <w:ind w:left="1843" w:right="1983"/>
        <w:jc w:val="both"/>
        <w:rPr>
          <w:rFonts w:ascii="Tahoma" w:hAnsi="Tahoma" w:cs="Tahoma"/>
          <w:b/>
          <w:i/>
          <w:sz w:val="20"/>
          <w:szCs w:val="20"/>
        </w:rPr>
      </w:pPr>
    </w:p>
    <w:p w:rsidR="00C5208F" w:rsidRPr="00B96798" w:rsidRDefault="00C5208F" w:rsidP="00C5208F">
      <w:pPr>
        <w:ind w:left="1843" w:right="1983"/>
        <w:jc w:val="both"/>
        <w:rPr>
          <w:rFonts w:ascii="Arial" w:hAnsi="Arial" w:cs="Arial"/>
          <w:i/>
          <w:sz w:val="20"/>
          <w:szCs w:val="20"/>
        </w:rPr>
      </w:pPr>
      <w:r w:rsidRPr="00B96798">
        <w:rPr>
          <w:rFonts w:ascii="Tahoma" w:hAnsi="Tahoma" w:cs="Tahoma"/>
          <w:b/>
          <w:i/>
          <w:sz w:val="20"/>
          <w:szCs w:val="20"/>
        </w:rPr>
        <w:t>Sumilla:</w:t>
      </w:r>
      <w:r w:rsidRPr="00B96798">
        <w:rPr>
          <w:rFonts w:ascii="Tahoma" w:hAnsi="Tahoma" w:cs="Tahoma"/>
          <w:i/>
          <w:sz w:val="20"/>
          <w:szCs w:val="20"/>
        </w:rPr>
        <w:t xml:space="preserve"> “</w:t>
      </w:r>
      <w:r w:rsidRPr="00B96798">
        <w:rPr>
          <w:rFonts w:ascii="Arial" w:hAnsi="Arial" w:cs="Arial"/>
          <w:i/>
          <w:sz w:val="20"/>
          <w:szCs w:val="20"/>
        </w:rPr>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 con infracción de los principios de moralidad y presunción de veracidad que las amparan</w:t>
      </w:r>
      <w:r>
        <w:rPr>
          <w:rFonts w:ascii="Arial" w:hAnsi="Arial" w:cs="Arial"/>
          <w:i/>
          <w:sz w:val="20"/>
          <w:szCs w:val="20"/>
        </w:rPr>
        <w:t>”</w:t>
      </w:r>
    </w:p>
    <w:p w:rsidR="00C5208F" w:rsidRPr="00B96798" w:rsidRDefault="00C5208F" w:rsidP="00C5208F">
      <w:pPr>
        <w:pStyle w:val="Textoindependiente3"/>
        <w:spacing w:after="0"/>
        <w:rPr>
          <w:rFonts w:ascii="Tahoma" w:hAnsi="Tahoma" w:cs="Tahoma"/>
          <w:i/>
          <w:sz w:val="21"/>
          <w:szCs w:val="21"/>
          <w:lang w:val="es-ES"/>
        </w:rPr>
      </w:pPr>
    </w:p>
    <w:p w:rsidR="00C5208F" w:rsidRPr="00B96798" w:rsidRDefault="00C5208F" w:rsidP="00C5208F">
      <w:pPr>
        <w:pStyle w:val="Textoindependiente3"/>
        <w:spacing w:after="0"/>
        <w:ind w:left="5387"/>
        <w:jc w:val="both"/>
        <w:rPr>
          <w:rFonts w:ascii="Tahoma" w:hAnsi="Tahoma" w:cs="Tahoma"/>
          <w:b/>
          <w:sz w:val="21"/>
          <w:szCs w:val="21"/>
        </w:rPr>
      </w:pPr>
      <w:r w:rsidRPr="00B96798">
        <w:rPr>
          <w:rFonts w:ascii="Tahoma" w:hAnsi="Tahoma" w:cs="Tahoma"/>
          <w:b/>
          <w:sz w:val="21"/>
          <w:szCs w:val="21"/>
        </w:rPr>
        <w:t>Lima,</w:t>
      </w:r>
      <w:r w:rsidR="00186302">
        <w:rPr>
          <w:rFonts w:ascii="Tahoma" w:hAnsi="Tahoma" w:cs="Tahoma"/>
          <w:b/>
          <w:sz w:val="21"/>
          <w:szCs w:val="21"/>
        </w:rPr>
        <w:t xml:space="preserve"> 25 de Enero de 2011</w:t>
      </w:r>
    </w:p>
    <w:p w:rsidR="00C5208F" w:rsidRPr="00B96798" w:rsidRDefault="00C5208F" w:rsidP="00C5208F">
      <w:pPr>
        <w:pStyle w:val="Textoindependiente3"/>
        <w:spacing w:after="0"/>
        <w:ind w:left="5387"/>
        <w:jc w:val="both"/>
        <w:rPr>
          <w:rFonts w:ascii="Tahoma" w:hAnsi="Tahoma" w:cs="Tahoma"/>
          <w:b/>
          <w:sz w:val="21"/>
          <w:szCs w:val="21"/>
        </w:rPr>
      </w:pPr>
    </w:p>
    <w:p w:rsidR="00C5208F" w:rsidRPr="002559DE" w:rsidRDefault="00C5208F" w:rsidP="00C5208F">
      <w:pPr>
        <w:ind w:firstLine="567"/>
        <w:contextualSpacing/>
        <w:jc w:val="both"/>
        <w:rPr>
          <w:rFonts w:ascii="Tahoma" w:hAnsi="Tahoma" w:cs="Tahoma"/>
          <w:sz w:val="20"/>
          <w:szCs w:val="20"/>
        </w:rPr>
      </w:pPr>
      <w:r w:rsidRPr="002559DE">
        <w:rPr>
          <w:rFonts w:ascii="Tahoma" w:hAnsi="Tahoma" w:cs="Tahoma"/>
          <w:b/>
          <w:sz w:val="20"/>
          <w:szCs w:val="20"/>
        </w:rPr>
        <w:t xml:space="preserve">Visto </w:t>
      </w:r>
      <w:r w:rsidRPr="002559DE">
        <w:rPr>
          <w:rFonts w:ascii="Tahoma" w:hAnsi="Tahoma" w:cs="Tahoma"/>
          <w:sz w:val="20"/>
          <w:szCs w:val="20"/>
        </w:rPr>
        <w:t xml:space="preserve">en sesión de fecha </w:t>
      </w:r>
      <w:r w:rsidR="00580B7E">
        <w:rPr>
          <w:rFonts w:ascii="Tahoma" w:hAnsi="Tahoma" w:cs="Tahoma"/>
          <w:sz w:val="20"/>
          <w:szCs w:val="20"/>
        </w:rPr>
        <w:t>25</w:t>
      </w:r>
      <w:r w:rsidRPr="002559DE">
        <w:rPr>
          <w:rFonts w:ascii="Tahoma" w:hAnsi="Tahoma" w:cs="Tahoma"/>
          <w:sz w:val="20"/>
          <w:szCs w:val="20"/>
        </w:rPr>
        <w:t xml:space="preserve"> de enero de 2011 la Primera Sala del Tribunal de Contrataciones del Estado el Expediente N° </w:t>
      </w:r>
      <w:r w:rsidR="00580B7E">
        <w:rPr>
          <w:rFonts w:ascii="Tahoma" w:hAnsi="Tahoma" w:cs="Tahoma"/>
          <w:sz w:val="20"/>
          <w:szCs w:val="20"/>
        </w:rPr>
        <w:t>1470</w:t>
      </w:r>
      <w:r w:rsidRPr="002559DE">
        <w:rPr>
          <w:rFonts w:ascii="Tahoma" w:hAnsi="Tahoma" w:cs="Tahoma"/>
          <w:sz w:val="20"/>
          <w:szCs w:val="20"/>
        </w:rPr>
        <w:t xml:space="preserve">-2008-TC; sobre el procedimiento administrativo sancionador iniciado contra </w:t>
      </w:r>
      <w:r w:rsidR="00580B7E">
        <w:rPr>
          <w:rFonts w:ascii="Tahoma" w:hAnsi="Tahoma" w:cs="Tahoma"/>
          <w:sz w:val="20"/>
          <w:szCs w:val="20"/>
        </w:rPr>
        <w:t>GRUPO INTERNACIONAL SERVICE</w:t>
      </w:r>
      <w:r w:rsidRPr="002559DE">
        <w:rPr>
          <w:rFonts w:ascii="Tahoma" w:hAnsi="Tahoma" w:cs="Tahoma"/>
          <w:sz w:val="20"/>
          <w:szCs w:val="20"/>
        </w:rPr>
        <w:t xml:space="preserve"> S.A.C., </w:t>
      </w:r>
      <w:r w:rsidRPr="002559DE">
        <w:rPr>
          <w:rFonts w:ascii="Tahoma" w:hAnsi="Tahoma" w:cs="Tahoma"/>
          <w:color w:val="000000" w:themeColor="text1"/>
          <w:sz w:val="20"/>
          <w:szCs w:val="20"/>
          <w:lang w:val="es-MX"/>
        </w:rPr>
        <w:t xml:space="preserve">por la presentación de documentos falsos en el proceso </w:t>
      </w:r>
      <w:r w:rsidR="00580B7E">
        <w:rPr>
          <w:rFonts w:ascii="Tahoma" w:hAnsi="Tahoma" w:cs="Tahoma"/>
          <w:color w:val="000000" w:themeColor="text1"/>
          <w:sz w:val="20"/>
          <w:szCs w:val="20"/>
          <w:lang w:val="es-MX"/>
        </w:rPr>
        <w:t>de selección del Concurso Publico</w:t>
      </w:r>
      <w:r w:rsidRPr="002559DE">
        <w:rPr>
          <w:rFonts w:ascii="Tahoma" w:hAnsi="Tahoma" w:cs="Tahoma"/>
          <w:color w:val="000000" w:themeColor="text1"/>
          <w:sz w:val="20"/>
          <w:szCs w:val="20"/>
          <w:lang w:val="es-MX"/>
        </w:rPr>
        <w:t xml:space="preserve"> </w:t>
      </w:r>
      <w:r w:rsidRPr="002559DE">
        <w:rPr>
          <w:rFonts w:ascii="Tahoma" w:hAnsi="Tahoma" w:cs="Tahoma"/>
          <w:sz w:val="20"/>
          <w:szCs w:val="20"/>
        </w:rPr>
        <w:t xml:space="preserve">Nº </w:t>
      </w:r>
      <w:r w:rsidR="00580B7E">
        <w:rPr>
          <w:rFonts w:ascii="Tahoma" w:hAnsi="Tahoma" w:cs="Tahoma"/>
          <w:sz w:val="20"/>
          <w:szCs w:val="20"/>
        </w:rPr>
        <w:t>007-2007-RENIEC</w:t>
      </w:r>
      <w:r w:rsidRPr="002559DE">
        <w:rPr>
          <w:rFonts w:ascii="Tahoma" w:hAnsi="Tahoma" w:cs="Tahoma"/>
          <w:color w:val="000000" w:themeColor="text1"/>
          <w:sz w:val="20"/>
          <w:szCs w:val="20"/>
          <w:lang w:val="es-MX"/>
        </w:rPr>
        <w:t>.</w:t>
      </w:r>
    </w:p>
    <w:p w:rsidR="00C5208F" w:rsidRPr="002559DE" w:rsidRDefault="00C5208F" w:rsidP="00C5208F">
      <w:pPr>
        <w:ind w:firstLine="567"/>
        <w:contextualSpacing/>
        <w:jc w:val="both"/>
        <w:rPr>
          <w:rFonts w:ascii="Tahoma" w:hAnsi="Tahoma" w:cs="Tahoma"/>
          <w:b/>
          <w:sz w:val="20"/>
          <w:szCs w:val="20"/>
          <w:lang w:val="es-ES_tradnl"/>
        </w:rPr>
      </w:pPr>
    </w:p>
    <w:p w:rsidR="00C5208F" w:rsidRPr="002559DE" w:rsidRDefault="00C5208F" w:rsidP="00C5208F">
      <w:pPr>
        <w:pStyle w:val="Prrafodelista"/>
        <w:widowControl/>
        <w:numPr>
          <w:ilvl w:val="0"/>
          <w:numId w:val="1"/>
        </w:numPr>
        <w:suppressAutoHyphens w:val="0"/>
        <w:ind w:left="567" w:hanging="567"/>
        <w:jc w:val="both"/>
        <w:rPr>
          <w:rFonts w:ascii="Tahoma" w:hAnsi="Tahoma" w:cs="Tahoma"/>
          <w:b/>
          <w:shadow/>
          <w:sz w:val="20"/>
        </w:rPr>
      </w:pPr>
      <w:r w:rsidRPr="002559DE">
        <w:rPr>
          <w:rFonts w:ascii="Tahoma" w:hAnsi="Tahoma" w:cs="Tahoma"/>
          <w:b/>
          <w:shadow/>
          <w:sz w:val="20"/>
        </w:rPr>
        <w:t>ANTECEDENTES</w:t>
      </w:r>
    </w:p>
    <w:p w:rsidR="00C5208F" w:rsidRPr="002559DE" w:rsidRDefault="00C5208F" w:rsidP="00C5208F">
      <w:pPr>
        <w:pStyle w:val="Prrafodelista"/>
        <w:ind w:left="567"/>
        <w:contextualSpacing/>
        <w:jc w:val="both"/>
        <w:rPr>
          <w:rFonts w:ascii="Tahoma" w:hAnsi="Tahoma" w:cs="Tahoma"/>
          <w:sz w:val="20"/>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Con fecha 29 de agosto de 2007, el Comité Especial otorgó la buena pro del proceso de selección de</w:t>
      </w:r>
      <w:r w:rsidR="00C974D3">
        <w:rPr>
          <w:rFonts w:ascii="Tahoma" w:hAnsi="Tahoma" w:cs="Tahoma"/>
          <w:sz w:val="21"/>
          <w:szCs w:val="21"/>
        </w:rPr>
        <w:t>l</w:t>
      </w:r>
      <w:r w:rsidRPr="009F35FA">
        <w:rPr>
          <w:rFonts w:ascii="Tahoma" w:hAnsi="Tahoma" w:cs="Tahoma"/>
          <w:sz w:val="21"/>
          <w:szCs w:val="21"/>
        </w:rPr>
        <w:t xml:space="preserve"> Concurso Público Nº 007-2007-RENIEC, convocado por el RENIEC, en adelante, la Entidad, para la “contratación del servicio de limpieza y mantenimiento de los locales del RENIEC ubicado en provincias” según relación de ítems, por un valor referencial ascendente a </w:t>
      </w:r>
      <w:r w:rsidRPr="009F35FA">
        <w:rPr>
          <w:rFonts w:ascii="Tahoma" w:hAnsi="Tahoma" w:cs="Tahoma"/>
          <w:bCs/>
          <w:iCs/>
          <w:sz w:val="21"/>
          <w:szCs w:val="21"/>
        </w:rPr>
        <w:t>S</w:t>
      </w:r>
      <w:r w:rsidRPr="009F35FA">
        <w:rPr>
          <w:rFonts w:ascii="Tahoma" w:hAnsi="Tahoma" w:cs="Tahoma"/>
          <w:bCs/>
          <w:sz w:val="21"/>
          <w:szCs w:val="21"/>
        </w:rPr>
        <w:t>/. 1 128 243.41 (Un millón ciento veintiocho mil doscientos cuarenta y tres con 41/100 Nuevos Soles)</w:t>
      </w:r>
      <w:r w:rsidRPr="009F35FA">
        <w:rPr>
          <w:rFonts w:ascii="Tahoma" w:hAnsi="Tahoma" w:cs="Tahoma"/>
          <w:iCs/>
          <w:sz w:val="21"/>
          <w:szCs w:val="21"/>
        </w:rPr>
        <w:t>.</w:t>
      </w:r>
    </w:p>
    <w:p w:rsidR="00580B7E" w:rsidRPr="009F35FA" w:rsidRDefault="00580B7E" w:rsidP="00580B7E">
      <w:pPr>
        <w:pStyle w:val="Prrafodelista"/>
        <w:ind w:left="567"/>
        <w:contextualSpacing/>
        <w:jc w:val="both"/>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 xml:space="preserve">La empresa adjudicada con la buena pro en el ítem 2 fue </w:t>
      </w:r>
      <w:r w:rsidRPr="009F35FA">
        <w:rPr>
          <w:rFonts w:ascii="Tahoma" w:hAnsi="Tahoma" w:cs="Tahoma"/>
          <w:b/>
          <w:sz w:val="21"/>
          <w:szCs w:val="21"/>
        </w:rPr>
        <w:t>Grupo Internacional Service SAC</w:t>
      </w:r>
      <w:r w:rsidRPr="009F35FA">
        <w:rPr>
          <w:rFonts w:ascii="Tahoma" w:hAnsi="Tahoma" w:cs="Tahoma"/>
          <w:sz w:val="21"/>
          <w:szCs w:val="21"/>
        </w:rPr>
        <w:t>, en adelante</w:t>
      </w:r>
      <w:r>
        <w:rPr>
          <w:rFonts w:ascii="Tahoma" w:hAnsi="Tahoma" w:cs="Tahoma"/>
          <w:sz w:val="21"/>
          <w:szCs w:val="21"/>
        </w:rPr>
        <w:t>,</w:t>
      </w:r>
      <w:r w:rsidRPr="009F35FA">
        <w:rPr>
          <w:rFonts w:ascii="Tahoma" w:hAnsi="Tahoma" w:cs="Tahoma"/>
          <w:sz w:val="21"/>
          <w:szCs w:val="21"/>
        </w:rPr>
        <w:t xml:space="preserve"> el Postor. </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El 17 de setiembre de 2007, el Consejo Superior de Contrataciones y Adquisiciones del Estado, admite a trámite un recurso de apelación contra dicho otorgamiento de buena pro, el mismo que fue declarado infundado mediante la Resolución Nº 1675-2007-TC-S1 del 22 de octubre de 2007.</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El 28 de enero de 2008, la Entidad remite al Postor la Carta Nº 039-2008/SGSG/GAD/RENIEC mediante la cual solicita los documentos necesarios para la firma del contrato. Sin embargo, hasta el 22 de febrero de 2008 el Postor no cumplió con acercarse a la Entidad para la firma correspondiente.</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En virtud de lo manifestado, la Entidad puso en conocimiento de este Tribunal de Contrataciones del Estado, en adelante, el Tribunal, los hechos acaecidos a través de una Carta s/n del 22 de abril de 2008.</w:t>
      </w:r>
    </w:p>
    <w:p w:rsidR="00580B7E" w:rsidRPr="009F35FA" w:rsidRDefault="00580B7E" w:rsidP="00580B7E">
      <w:pPr>
        <w:pStyle w:val="Prrafodelista"/>
        <w:ind w:left="567"/>
        <w:contextualSpacing/>
        <w:jc w:val="both"/>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 xml:space="preserve">Adjunto a la Carta s/n remitida por la Entidad a este Tribunal se encuentra el Informe Nº 000265-2008/GAJ/RENIEC, emitido por su Área de Asesoría Jurídica, el </w:t>
      </w:r>
      <w:r w:rsidRPr="009F35FA">
        <w:rPr>
          <w:rFonts w:ascii="Tahoma" w:hAnsi="Tahoma" w:cs="Tahoma"/>
          <w:sz w:val="21"/>
          <w:szCs w:val="21"/>
        </w:rPr>
        <w:lastRenderedPageBreak/>
        <w:t>cual señala que luego de que el CONSUCODE resolviera el recurso de apelación el 22 de octubre de 2007, el Comité Especial registró en el SEACE el consentimiento de la buena pro; sin embargo, señala el Informe mencionado, que el 25 de octubre de 2007 el CONSUCODE remite notificaciones en cuya MATERIA se lee: “Recurso de Revisión” interpuesto por Liva SRL contra RENIEC con cédula de notificación Nº 33703/2007.TC; igualmente ocurrió con la cédula de notificación Nº 35128/2007.TC de fecha 07 de noviembre de 2007. Estos hechos, concluye el citado Informe, conllevaron a error e hicieron presumir que existía un recurso de revisión pendiente de resolver.</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El Informe además sostiene que posteriormente, el supervisor de contratos de RENIEC pudo determinar que no existía ningún otro recurso impugnativo como el de Revisión mencionado</w:t>
      </w:r>
      <w:r>
        <w:rPr>
          <w:rFonts w:ascii="Tahoma" w:hAnsi="Tahoma" w:cs="Tahoma"/>
          <w:sz w:val="21"/>
          <w:szCs w:val="21"/>
        </w:rPr>
        <w:t>, que estuviera</w:t>
      </w:r>
      <w:r w:rsidRPr="009F35FA">
        <w:rPr>
          <w:rFonts w:ascii="Tahoma" w:hAnsi="Tahoma" w:cs="Tahoma"/>
          <w:sz w:val="21"/>
          <w:szCs w:val="21"/>
        </w:rPr>
        <w:t xml:space="preserve"> pendiente, y que las notificaciones recibidas anteriormente se relacionaban con el recurso de apelación resuelto anteriormente; por lo que el 28 de enero de 2008 la Entidad remitió al Postor la Carta Nº 039-2008/SGSG/GAD/RENIEC a fin de solicitarle los documentos necesarios para la firma del contrato, manifestando a través de ella que lo requerido es en el más breve plazo a efectos de proceder con la suscripción del mismo.</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 xml:space="preserve">El 22 de febrero de 2008, el Postor remitió a la Entidad la Carta Nº 48/08-GG-GI solicitando una ampliación en el plazo para suscribir el contrato referido a fin de subsanar las observaciones que mantenía ante el Ministerio de Trabajo y Promoción del Empleo, considerando que su Registro de Intermediación Laboral no se encontraba vigente. Sin embargo, en la misma fecha la Entidad solicitó al postor que ocupó el segundo lugar en el orden de prelación del proceso </w:t>
      </w:r>
      <w:r>
        <w:rPr>
          <w:rFonts w:ascii="Tahoma" w:hAnsi="Tahoma" w:cs="Tahoma"/>
          <w:sz w:val="21"/>
          <w:szCs w:val="21"/>
        </w:rPr>
        <w:t xml:space="preserve">de selección </w:t>
      </w:r>
      <w:r w:rsidRPr="009F35FA">
        <w:rPr>
          <w:rFonts w:ascii="Tahoma" w:hAnsi="Tahoma" w:cs="Tahoma"/>
          <w:sz w:val="21"/>
          <w:szCs w:val="21"/>
        </w:rPr>
        <w:t>los documentos necesarios para la suscripción del contrato.</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 xml:space="preserve">Mediante decreto de fecha 25 de abril de 2008, se requirió a la Entidad copia de la carta debidamente recibida por el postor, mediante la cual se le citó a la suscripción del contrato, otorgándole un plazo de 5 (cinco) días hábiles a fin que remita dicha </w:t>
      </w:r>
      <w:r>
        <w:rPr>
          <w:rFonts w:ascii="Tahoma" w:hAnsi="Tahoma" w:cs="Tahoma"/>
          <w:sz w:val="21"/>
          <w:szCs w:val="21"/>
        </w:rPr>
        <w:t>documentación</w:t>
      </w:r>
      <w:r w:rsidRPr="009F35FA">
        <w:rPr>
          <w:rFonts w:ascii="Tahoma" w:hAnsi="Tahoma" w:cs="Tahoma"/>
          <w:sz w:val="21"/>
          <w:szCs w:val="21"/>
        </w:rPr>
        <w:t>.</w:t>
      </w:r>
    </w:p>
    <w:p w:rsidR="00580B7E" w:rsidRPr="009F35FA" w:rsidRDefault="00580B7E" w:rsidP="00580B7E">
      <w:pPr>
        <w:pStyle w:val="Prrafodelista"/>
        <w:ind w:left="567"/>
        <w:contextualSpacing/>
        <w:jc w:val="both"/>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 xml:space="preserve">A través del escrito presentado </w:t>
      </w:r>
      <w:r>
        <w:rPr>
          <w:rFonts w:ascii="Tahoma" w:hAnsi="Tahoma" w:cs="Tahoma"/>
          <w:sz w:val="21"/>
          <w:szCs w:val="21"/>
        </w:rPr>
        <w:t xml:space="preserve">a este Tribunal </w:t>
      </w:r>
      <w:r w:rsidRPr="009F35FA">
        <w:rPr>
          <w:rFonts w:ascii="Tahoma" w:hAnsi="Tahoma" w:cs="Tahoma"/>
          <w:sz w:val="21"/>
          <w:szCs w:val="21"/>
        </w:rPr>
        <w:t>el 04 de julio de 2008, la Entidad remitió la Carta Nº 067-2008/SGSG/GAD/RENIEC, a través del cual manifiesta al Postor que se procederá con</w:t>
      </w:r>
      <w:r>
        <w:rPr>
          <w:rFonts w:ascii="Tahoma" w:hAnsi="Tahoma" w:cs="Tahoma"/>
          <w:sz w:val="21"/>
          <w:szCs w:val="21"/>
        </w:rPr>
        <w:t>forme lo dispone las normas de Contrataciones y A</w:t>
      </w:r>
      <w:r w:rsidRPr="009F35FA">
        <w:rPr>
          <w:rFonts w:ascii="Tahoma" w:hAnsi="Tahoma" w:cs="Tahoma"/>
          <w:sz w:val="21"/>
          <w:szCs w:val="21"/>
        </w:rPr>
        <w:t>dquisiciones del Estado</w:t>
      </w:r>
      <w:r>
        <w:rPr>
          <w:rFonts w:ascii="Tahoma" w:hAnsi="Tahoma" w:cs="Tahoma"/>
          <w:sz w:val="21"/>
          <w:szCs w:val="21"/>
        </w:rPr>
        <w:t>,</w:t>
      </w:r>
      <w:r w:rsidRPr="009F35FA">
        <w:rPr>
          <w:rFonts w:ascii="Tahoma" w:hAnsi="Tahoma" w:cs="Tahoma"/>
          <w:sz w:val="21"/>
          <w:szCs w:val="21"/>
        </w:rPr>
        <w:t xml:space="preserve"> teniendo en cuenta que el plazo para suscribir contrato es de máximo 10 días hábiles y que a la fecha de dicha Carta éste ya había excedido.</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Con decreto de fecha 09 de julio de 2008, se inició procedimiento administrativo sancionador al Postor, por supuesta responsabilidad al no suscribir injustificadamente el contrato a pesar de haber resultado ganador de la buena pro en el Concurso Público Nº 007-2007-RENIEC. Asimismo, se le otorgó al Postor un plazo de 10 (diez) días hábiles, a fin que cumpla con presentar sus descargos, lo cual cumplió el 17 de setiembre de 2008.</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lastRenderedPageBreak/>
        <w:t>Teniendo en consideración que el Postor cumplió con presentar sus descargos, mediante decreto de fecha 24 de setiembre de 2008, se tuvo por apersonada la empresa GRUPO INTERNACIONAL SERVICE SAC, y se remitió el expediente a la Tercera Sala del Tribunal para que resuelva.</w:t>
      </w:r>
    </w:p>
    <w:p w:rsidR="00580B7E" w:rsidRPr="009F35FA" w:rsidRDefault="00580B7E" w:rsidP="00580B7E">
      <w:pPr>
        <w:pStyle w:val="Prrafodelista"/>
        <w:rPr>
          <w:rFonts w:ascii="Tahoma" w:hAnsi="Tahoma" w:cs="Tahoma"/>
          <w:sz w:val="21"/>
          <w:szCs w:val="21"/>
        </w:rPr>
      </w:pPr>
    </w:p>
    <w:p w:rsidR="00580B7E" w:rsidRPr="009F35FA" w:rsidRDefault="00580B7E" w:rsidP="00580B7E">
      <w:pPr>
        <w:pStyle w:val="Prrafodelista"/>
        <w:widowControl/>
        <w:numPr>
          <w:ilvl w:val="0"/>
          <w:numId w:val="3"/>
        </w:numPr>
        <w:suppressAutoHyphens w:val="0"/>
        <w:ind w:left="567" w:hanging="567"/>
        <w:contextualSpacing/>
        <w:jc w:val="both"/>
        <w:rPr>
          <w:rFonts w:ascii="Tahoma" w:hAnsi="Tahoma" w:cs="Tahoma"/>
          <w:sz w:val="21"/>
          <w:szCs w:val="21"/>
        </w:rPr>
      </w:pPr>
      <w:r w:rsidRPr="009F35FA">
        <w:rPr>
          <w:rFonts w:ascii="Tahoma" w:hAnsi="Tahoma" w:cs="Tahoma"/>
          <w:sz w:val="21"/>
          <w:szCs w:val="21"/>
        </w:rPr>
        <w:t>Mediante decreto de fecha 13 de agosto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C5208F" w:rsidRPr="002559DE" w:rsidRDefault="00C5208F" w:rsidP="00C5208F">
      <w:pPr>
        <w:jc w:val="both"/>
        <w:rPr>
          <w:rFonts w:ascii="Tahoma" w:hAnsi="Tahoma" w:cs="Tahoma"/>
          <w:sz w:val="20"/>
          <w:szCs w:val="20"/>
          <w:u w:val="single"/>
        </w:rPr>
      </w:pPr>
    </w:p>
    <w:p w:rsidR="00C5208F" w:rsidRPr="002559DE" w:rsidRDefault="00C5208F" w:rsidP="00C5208F">
      <w:pPr>
        <w:pStyle w:val="Prrafodelista"/>
        <w:ind w:left="567"/>
        <w:jc w:val="both"/>
        <w:rPr>
          <w:rFonts w:ascii="Tahoma" w:hAnsi="Tahoma" w:cs="Tahoma"/>
          <w:sz w:val="20"/>
        </w:rPr>
      </w:pPr>
      <w:r w:rsidRPr="002559DE">
        <w:rPr>
          <w:rFonts w:ascii="Tahoma" w:hAnsi="Tahoma" w:cs="Tahoma"/>
          <w:b/>
          <w:shadow/>
          <w:sz w:val="20"/>
        </w:rPr>
        <w:t>FUNDAMENTACION:</w:t>
      </w:r>
    </w:p>
    <w:p w:rsidR="00C5208F" w:rsidRPr="002559DE" w:rsidRDefault="00C5208F" w:rsidP="00C5208F">
      <w:pPr>
        <w:tabs>
          <w:tab w:val="left" w:pos="426"/>
        </w:tabs>
        <w:ind w:left="400"/>
        <w:jc w:val="both"/>
        <w:rPr>
          <w:rFonts w:ascii="Tahoma" w:hAnsi="Tahoma" w:cs="Tahoma"/>
          <w:sz w:val="20"/>
          <w:szCs w:val="20"/>
        </w:rPr>
      </w:pPr>
    </w:p>
    <w:p w:rsidR="00580B7E" w:rsidRPr="008B6F32" w:rsidRDefault="00580B7E" w:rsidP="00580B7E">
      <w:pPr>
        <w:numPr>
          <w:ilvl w:val="0"/>
          <w:numId w:val="5"/>
        </w:numPr>
        <w:tabs>
          <w:tab w:val="clear" w:pos="360"/>
          <w:tab w:val="num" w:pos="0"/>
        </w:tabs>
        <w:ind w:left="567" w:hanging="567"/>
        <w:contextualSpacing/>
        <w:jc w:val="both"/>
        <w:rPr>
          <w:rFonts w:ascii="Tahoma" w:hAnsi="Tahoma" w:cs="Tahoma"/>
          <w:color w:val="000000" w:themeColor="text1"/>
          <w:sz w:val="20"/>
          <w:szCs w:val="20"/>
        </w:rPr>
      </w:pPr>
      <w:r w:rsidRPr="008B6F32">
        <w:rPr>
          <w:rFonts w:ascii="Tahoma" w:hAnsi="Tahoma" w:cs="Tahoma"/>
          <w:color w:val="000000" w:themeColor="text1"/>
          <w:sz w:val="20"/>
          <w:szCs w:val="20"/>
        </w:rPr>
        <w:t xml:space="preserve">Es materia del presente procedimiento administrativo la supuesta responsabilidad del </w:t>
      </w:r>
      <w:r>
        <w:rPr>
          <w:rFonts w:ascii="Tahoma" w:hAnsi="Tahoma" w:cs="Tahoma"/>
          <w:color w:val="000000" w:themeColor="text1"/>
          <w:sz w:val="20"/>
          <w:szCs w:val="20"/>
        </w:rPr>
        <w:t>Postor</w:t>
      </w:r>
      <w:r w:rsidRPr="008B6F32">
        <w:rPr>
          <w:rFonts w:ascii="Tahoma" w:hAnsi="Tahoma" w:cs="Tahoma"/>
          <w:color w:val="000000" w:themeColor="text1"/>
          <w:sz w:val="20"/>
          <w:szCs w:val="20"/>
        </w:rPr>
        <w:t>, al no haber suscrito injustificadamente el contrato correspondiente al proceso de selección de</w:t>
      </w:r>
      <w:r w:rsidRPr="008B6F32">
        <w:rPr>
          <w:rFonts w:ascii="Tahoma" w:hAnsi="Tahoma" w:cs="Tahoma"/>
          <w:sz w:val="20"/>
          <w:szCs w:val="20"/>
        </w:rPr>
        <w:t xml:space="preserve"> Concurso Público Nº 007-2007-RENIEC, convocado por la Entidad, para la “contratación del servicio de limpieza y mantenimiento de los locales del RENIEC ubicado en provincias”</w:t>
      </w:r>
      <w:r w:rsidRPr="008B6F32">
        <w:rPr>
          <w:rFonts w:ascii="Tahoma" w:hAnsi="Tahoma" w:cs="Tahoma"/>
          <w:color w:val="000000" w:themeColor="text1"/>
          <w:sz w:val="20"/>
          <w:szCs w:val="20"/>
        </w:rPr>
        <w:t xml:space="preserve">, </w:t>
      </w:r>
      <w:r w:rsidRPr="008B6F32">
        <w:rPr>
          <w:rFonts w:ascii="Tahoma" w:hAnsi="Tahoma" w:cs="Tahoma"/>
          <w:sz w:val="20"/>
          <w:szCs w:val="20"/>
        </w:rPr>
        <w:t>infracción tipificada en el numeral 1) del artículo 294 del Reglamento de la Ley de Contrataciones y Adquisiciones del Estado</w:t>
      </w:r>
      <w:r w:rsidRPr="008B6F32">
        <w:rPr>
          <w:rStyle w:val="Refdenotaalpie"/>
          <w:rFonts w:ascii="Tahoma" w:hAnsi="Tahoma" w:cs="Tahoma"/>
          <w:sz w:val="20"/>
          <w:szCs w:val="20"/>
        </w:rPr>
        <w:footnoteReference w:id="2"/>
      </w:r>
      <w:r w:rsidRPr="008B6F32">
        <w:rPr>
          <w:rFonts w:ascii="Tahoma" w:hAnsi="Tahoma" w:cs="Tahoma"/>
          <w:sz w:val="20"/>
          <w:szCs w:val="20"/>
        </w:rPr>
        <w:t>, aprobado por Decreto Supremo № 084-2004-PCM, en adelante el Reglamento, norma vigente al momento de suscitarse los hechos imputados.</w:t>
      </w:r>
      <w:r w:rsidRPr="008B6F32">
        <w:rPr>
          <w:rFonts w:ascii="Tahoma" w:hAnsi="Tahoma" w:cs="Tahoma"/>
          <w:color w:val="000000" w:themeColor="text1"/>
          <w:sz w:val="20"/>
          <w:szCs w:val="20"/>
        </w:rPr>
        <w:t xml:space="preserve"> </w:t>
      </w:r>
    </w:p>
    <w:p w:rsidR="00580B7E" w:rsidRPr="008B6F32" w:rsidRDefault="00580B7E" w:rsidP="00580B7E">
      <w:pPr>
        <w:ind w:left="567"/>
        <w:contextualSpacing/>
        <w:jc w:val="both"/>
        <w:rPr>
          <w:rFonts w:ascii="Tahoma" w:hAnsi="Tahoma" w:cs="Tahoma"/>
          <w:color w:val="000000" w:themeColor="text1"/>
          <w:sz w:val="20"/>
          <w:szCs w:val="20"/>
        </w:rPr>
      </w:pPr>
    </w:p>
    <w:p w:rsidR="00580B7E" w:rsidRPr="000E0051" w:rsidRDefault="00580B7E" w:rsidP="00580B7E">
      <w:pPr>
        <w:numPr>
          <w:ilvl w:val="0"/>
          <w:numId w:val="5"/>
        </w:numPr>
        <w:tabs>
          <w:tab w:val="clear" w:pos="360"/>
          <w:tab w:val="num" w:pos="0"/>
        </w:tabs>
        <w:ind w:left="567" w:hanging="567"/>
        <w:contextualSpacing/>
        <w:jc w:val="both"/>
        <w:rPr>
          <w:rFonts w:ascii="Tahoma" w:hAnsi="Tahoma" w:cs="Tahoma"/>
          <w:color w:val="000000" w:themeColor="text1"/>
          <w:sz w:val="20"/>
          <w:szCs w:val="20"/>
        </w:rPr>
      </w:pPr>
      <w:r w:rsidRPr="008B6F32">
        <w:rPr>
          <w:rFonts w:ascii="Tahoma" w:hAnsi="Tahoma" w:cs="Tahoma"/>
          <w:sz w:val="20"/>
          <w:szCs w:val="20"/>
          <w:lang w:eastAsia="en-US"/>
        </w:rPr>
        <w:t>En principio, cabe precisar que con el otorgamiento de la buena pro se genera el derecho del ganador del proceso de celebrar el contrato con la Entidad.</w:t>
      </w:r>
      <w:r>
        <w:rPr>
          <w:rFonts w:ascii="Tahoma" w:hAnsi="Tahoma" w:cs="Tahoma"/>
          <w:color w:val="000000" w:themeColor="text1"/>
          <w:sz w:val="20"/>
          <w:szCs w:val="20"/>
        </w:rPr>
        <w:t xml:space="preserve"> </w:t>
      </w:r>
      <w:r w:rsidRPr="000E0051">
        <w:rPr>
          <w:rFonts w:ascii="Tahoma" w:hAnsi="Tahoma" w:cs="Tahoma"/>
          <w:sz w:val="20"/>
          <w:szCs w:val="20"/>
          <w:lang w:val="es-ES_tradnl" w:eastAsia="en-US"/>
        </w:rPr>
        <w:t>Sin embargo, la suscripción del contrato, además de un derecho, const</w:t>
      </w:r>
      <w:r>
        <w:rPr>
          <w:rFonts w:ascii="Tahoma" w:hAnsi="Tahoma" w:cs="Tahoma"/>
          <w:sz w:val="20"/>
          <w:szCs w:val="20"/>
          <w:lang w:val="es-ES_tradnl" w:eastAsia="en-US"/>
        </w:rPr>
        <w:t>ituye una obligación del postor</w:t>
      </w:r>
      <w:r w:rsidRPr="000E0051">
        <w:rPr>
          <w:rFonts w:ascii="Tahoma" w:hAnsi="Tahoma" w:cs="Tahoma"/>
          <w:sz w:val="20"/>
          <w:szCs w:val="20"/>
          <w:lang w:val="es-ES_tradnl" w:eastAsia="en-US"/>
        </w:rPr>
        <w:t>.</w:t>
      </w:r>
    </w:p>
    <w:p w:rsidR="00580B7E" w:rsidRPr="008B6F32" w:rsidRDefault="00580B7E" w:rsidP="00580B7E">
      <w:pPr>
        <w:pStyle w:val="Prrafodelista"/>
        <w:rPr>
          <w:rFonts w:ascii="Tahoma" w:hAnsi="Tahoma" w:cs="Tahoma"/>
          <w:sz w:val="20"/>
          <w:lang w:eastAsia="en-US"/>
        </w:rPr>
      </w:pPr>
    </w:p>
    <w:p w:rsidR="00580B7E" w:rsidRPr="008B6F32" w:rsidRDefault="00580B7E" w:rsidP="00580B7E">
      <w:pPr>
        <w:numPr>
          <w:ilvl w:val="0"/>
          <w:numId w:val="5"/>
        </w:numPr>
        <w:tabs>
          <w:tab w:val="clear" w:pos="360"/>
          <w:tab w:val="num" w:pos="0"/>
        </w:tabs>
        <w:ind w:left="567" w:hanging="567"/>
        <w:contextualSpacing/>
        <w:jc w:val="both"/>
        <w:rPr>
          <w:rFonts w:ascii="Tahoma" w:hAnsi="Tahoma" w:cs="Tahoma"/>
          <w:color w:val="000000" w:themeColor="text1"/>
          <w:sz w:val="20"/>
          <w:szCs w:val="20"/>
        </w:rPr>
      </w:pPr>
      <w:r w:rsidRPr="008B6F32">
        <w:rPr>
          <w:rFonts w:ascii="Tahoma" w:hAnsi="Tahoma" w:cs="Tahoma"/>
          <w:sz w:val="20"/>
          <w:szCs w:val="20"/>
          <w:lang w:val="es-ES_tradnl" w:eastAsia="en-US"/>
        </w:rPr>
        <w:t xml:space="preserve">En ese sentido, de conformidad con lo establecido en el artículo 137 del Reglamento, una vez que el otorgamiento de la buena pro ha quedado consentido o administrativamente firme, tanto </w:t>
      </w:r>
      <w:smartTag w:uri="urn:schemas-microsoft-com:office:smarttags" w:element="PersonName">
        <w:smartTagPr>
          <w:attr w:name="ProductID" w:val="la Entidad"/>
        </w:smartTagPr>
        <w:r w:rsidRPr="008B6F32">
          <w:rPr>
            <w:rFonts w:ascii="Tahoma" w:hAnsi="Tahoma" w:cs="Tahoma"/>
            <w:sz w:val="20"/>
            <w:szCs w:val="20"/>
            <w:lang w:val="es-ES_tradnl" w:eastAsia="en-US"/>
          </w:rPr>
          <w:t>la Entidad</w:t>
        </w:r>
      </w:smartTag>
      <w:r w:rsidRPr="008B6F32">
        <w:rPr>
          <w:rFonts w:ascii="Tahoma" w:hAnsi="Tahoma" w:cs="Tahoma"/>
          <w:sz w:val="20"/>
          <w:szCs w:val="20"/>
          <w:lang w:val="es-ES_tradnl" w:eastAsia="en-US"/>
        </w:rPr>
        <w:t xml:space="preserve"> como el o los postores ganadores </w:t>
      </w:r>
      <w:r w:rsidRPr="008B6F32">
        <w:rPr>
          <w:rFonts w:ascii="Tahoma" w:hAnsi="Tahoma" w:cs="Tahoma"/>
          <w:b/>
          <w:bCs/>
          <w:sz w:val="20"/>
          <w:szCs w:val="20"/>
          <w:u w:val="single"/>
          <w:lang w:val="es-ES_tradnl" w:eastAsia="en-US"/>
        </w:rPr>
        <w:t>están obligados a suscribir el o los contratos respectivos</w:t>
      </w:r>
      <w:r w:rsidRPr="008B6F32">
        <w:rPr>
          <w:rFonts w:ascii="Tahoma" w:hAnsi="Tahoma" w:cs="Tahoma"/>
          <w:sz w:val="20"/>
          <w:szCs w:val="20"/>
          <w:lang w:val="es-ES_tradnl" w:eastAsia="en-US"/>
        </w:rPr>
        <w:t>.</w:t>
      </w:r>
    </w:p>
    <w:p w:rsidR="00580B7E" w:rsidRPr="008B6F32" w:rsidRDefault="00580B7E" w:rsidP="00580B7E">
      <w:pPr>
        <w:pStyle w:val="Prrafodelista"/>
        <w:rPr>
          <w:rFonts w:ascii="Tahoma" w:hAnsi="Tahoma" w:cs="Tahoma"/>
          <w:sz w:val="20"/>
          <w:lang w:eastAsia="en-US"/>
        </w:rPr>
      </w:pPr>
    </w:p>
    <w:p w:rsidR="00580B7E" w:rsidRPr="008B6F32" w:rsidRDefault="00580B7E" w:rsidP="00580B7E">
      <w:pPr>
        <w:numPr>
          <w:ilvl w:val="0"/>
          <w:numId w:val="5"/>
        </w:numPr>
        <w:tabs>
          <w:tab w:val="clear" w:pos="360"/>
          <w:tab w:val="num" w:pos="0"/>
        </w:tabs>
        <w:ind w:left="567" w:hanging="567"/>
        <w:contextualSpacing/>
        <w:jc w:val="both"/>
        <w:rPr>
          <w:rFonts w:ascii="Tahoma" w:hAnsi="Tahoma" w:cs="Tahoma"/>
          <w:color w:val="000000" w:themeColor="text1"/>
          <w:sz w:val="20"/>
          <w:szCs w:val="20"/>
        </w:rPr>
      </w:pPr>
      <w:r w:rsidRPr="008B6F32">
        <w:rPr>
          <w:rFonts w:ascii="Tahoma" w:hAnsi="Tahoma" w:cs="Tahoma"/>
          <w:sz w:val="20"/>
          <w:szCs w:val="20"/>
          <w:lang w:eastAsia="en-US"/>
        </w:rPr>
        <w:t xml:space="preserve">Como parte de dicha obligación, compete a </w:t>
      </w:r>
      <w:smartTag w:uri="urn:schemas-microsoft-com:office:smarttags" w:element="PersonName">
        <w:smartTagPr>
          <w:attr w:name="ProductID" w:val="la Entidad"/>
        </w:smartTagPr>
        <w:r w:rsidRPr="008B6F32">
          <w:rPr>
            <w:rFonts w:ascii="Tahoma" w:hAnsi="Tahoma" w:cs="Tahoma"/>
            <w:sz w:val="20"/>
            <w:szCs w:val="20"/>
            <w:lang w:eastAsia="en-US"/>
          </w:rPr>
          <w:t>la Entidad</w:t>
        </w:r>
      </w:smartTag>
      <w:r w:rsidRPr="008B6F32">
        <w:rPr>
          <w:rFonts w:ascii="Tahoma" w:hAnsi="Tahoma" w:cs="Tahoma"/>
          <w:sz w:val="20"/>
          <w:szCs w:val="20"/>
          <w:lang w:eastAsia="en-US"/>
        </w:rPr>
        <w:t xml:space="preserve"> y al postor adjudicatario observar el procedimiento establecido en el artículo </w:t>
      </w:r>
      <w:r>
        <w:rPr>
          <w:rFonts w:ascii="Tahoma" w:hAnsi="Tahoma" w:cs="Tahoma"/>
          <w:sz w:val="20"/>
          <w:szCs w:val="20"/>
          <w:lang w:eastAsia="en-US"/>
        </w:rPr>
        <w:t>203</w:t>
      </w:r>
      <w:r w:rsidRPr="008B6F32">
        <w:rPr>
          <w:rFonts w:ascii="Tahoma" w:hAnsi="Tahoma" w:cs="Tahoma"/>
          <w:sz w:val="20"/>
          <w:szCs w:val="20"/>
          <w:lang w:eastAsia="en-US"/>
        </w:rPr>
        <w:t xml:space="preserve"> del Reglamento para </w:t>
      </w:r>
      <w:r>
        <w:rPr>
          <w:rFonts w:ascii="Tahoma" w:hAnsi="Tahoma" w:cs="Tahoma"/>
          <w:sz w:val="20"/>
          <w:szCs w:val="20"/>
          <w:lang w:eastAsia="en-US"/>
        </w:rPr>
        <w:t>la suscripción</w:t>
      </w:r>
      <w:r w:rsidRPr="008B6F32">
        <w:rPr>
          <w:rFonts w:ascii="Tahoma" w:hAnsi="Tahoma" w:cs="Tahoma"/>
          <w:sz w:val="20"/>
          <w:szCs w:val="20"/>
          <w:lang w:eastAsia="en-US"/>
        </w:rPr>
        <w:t xml:space="preserve"> del contrato.</w:t>
      </w:r>
    </w:p>
    <w:p w:rsidR="00580B7E" w:rsidRPr="008B6F32" w:rsidRDefault="00580B7E" w:rsidP="00580B7E">
      <w:pPr>
        <w:pStyle w:val="Prrafodelista"/>
        <w:rPr>
          <w:rFonts w:ascii="Tahoma" w:hAnsi="Tahoma" w:cs="Tahoma"/>
          <w:color w:val="000000" w:themeColor="text1"/>
          <w:sz w:val="20"/>
        </w:rPr>
      </w:pPr>
    </w:p>
    <w:p w:rsidR="00580B7E" w:rsidRPr="008B6F32" w:rsidRDefault="00580B7E" w:rsidP="00580B7E">
      <w:pPr>
        <w:numPr>
          <w:ilvl w:val="0"/>
          <w:numId w:val="5"/>
        </w:numPr>
        <w:tabs>
          <w:tab w:val="clear" w:pos="360"/>
        </w:tabs>
        <w:ind w:left="567" w:hanging="567"/>
        <w:jc w:val="both"/>
        <w:rPr>
          <w:rFonts w:ascii="Tahoma" w:hAnsi="Tahoma" w:cs="Tahoma"/>
          <w:color w:val="000000" w:themeColor="text1"/>
          <w:sz w:val="20"/>
          <w:szCs w:val="20"/>
        </w:rPr>
      </w:pPr>
      <w:r w:rsidRPr="008B6F32">
        <w:rPr>
          <w:rFonts w:ascii="Tahoma" w:hAnsi="Tahoma" w:cs="Tahoma"/>
          <w:sz w:val="20"/>
          <w:szCs w:val="20"/>
        </w:rPr>
        <w:t xml:space="preserve">Ahora bien, </w:t>
      </w:r>
      <w:r w:rsidRPr="008B6F32">
        <w:rPr>
          <w:rFonts w:ascii="Tahoma" w:hAnsi="Tahoma" w:cs="Tahoma"/>
          <w:sz w:val="20"/>
          <w:szCs w:val="20"/>
          <w:lang w:val="es-MX"/>
        </w:rPr>
        <w:t>como cuestión procesal previa, se advierte</w:t>
      </w:r>
      <w:r w:rsidRPr="008B6F32">
        <w:rPr>
          <w:rFonts w:ascii="Tahoma" w:hAnsi="Tahoma" w:cs="Tahoma"/>
          <w:sz w:val="20"/>
          <w:szCs w:val="20"/>
        </w:rPr>
        <w:t xml:space="preserve"> que </w:t>
      </w:r>
      <w:r w:rsidRPr="008B6F32">
        <w:rPr>
          <w:rFonts w:ascii="Tahoma" w:hAnsi="Tahoma" w:cs="Tahoma"/>
          <w:sz w:val="20"/>
          <w:szCs w:val="20"/>
          <w:lang w:val="es-MX"/>
        </w:rPr>
        <w:t xml:space="preserve">mediante </w:t>
      </w:r>
      <w:r w:rsidRPr="008B6F32">
        <w:rPr>
          <w:rFonts w:ascii="Tahoma" w:hAnsi="Tahoma" w:cs="Tahoma"/>
          <w:sz w:val="20"/>
          <w:szCs w:val="20"/>
        </w:rPr>
        <w:t xml:space="preserve">Resolución </w:t>
      </w:r>
      <w:r w:rsidRPr="008B6F32">
        <w:rPr>
          <w:rFonts w:ascii="Tahoma" w:hAnsi="Tahoma" w:cs="Tahoma"/>
          <w:color w:val="000000" w:themeColor="text1"/>
          <w:sz w:val="20"/>
          <w:szCs w:val="20"/>
        </w:rPr>
        <w:t>№ 1254-2009-TC-S3 de fecha 08 de mayo de 2009</w:t>
      </w:r>
      <w:r w:rsidRPr="008B6F32">
        <w:rPr>
          <w:rFonts w:ascii="Tahoma" w:hAnsi="Tahoma" w:cs="Tahoma"/>
          <w:sz w:val="20"/>
          <w:szCs w:val="20"/>
          <w:lang w:val="es-MX"/>
        </w:rPr>
        <w:t>,</w:t>
      </w:r>
      <w:r w:rsidRPr="008B6F32">
        <w:rPr>
          <w:rFonts w:ascii="Tahoma" w:hAnsi="Tahoma" w:cs="Tahoma"/>
          <w:sz w:val="20"/>
          <w:szCs w:val="20"/>
        </w:rPr>
        <w:t xml:space="preserve"> la Tercera </w:t>
      </w:r>
      <w:r w:rsidRPr="008B6F32">
        <w:rPr>
          <w:rFonts w:ascii="Tahoma" w:hAnsi="Tahoma" w:cs="Tahoma"/>
          <w:sz w:val="20"/>
          <w:szCs w:val="20"/>
          <w:lang w:val="es-MX"/>
        </w:rPr>
        <w:t xml:space="preserve">Sala del Tribunal impuso al Postor la sanción administrativa de </w:t>
      </w:r>
      <w:r w:rsidRPr="008B6F32">
        <w:rPr>
          <w:rFonts w:ascii="Tahoma" w:hAnsi="Tahoma" w:cs="Tahoma"/>
          <w:sz w:val="20"/>
          <w:szCs w:val="20"/>
        </w:rPr>
        <w:t xml:space="preserve">inhabilitación definitiva en sus derechos para participar en procesos de selección y contratar con el Estado, por cuanto había </w:t>
      </w:r>
      <w:r w:rsidRPr="008B6F32">
        <w:rPr>
          <w:rFonts w:ascii="Tahoma" w:hAnsi="Tahoma" w:cs="Tahoma"/>
          <w:sz w:val="20"/>
          <w:szCs w:val="20"/>
        </w:rPr>
        <w:lastRenderedPageBreak/>
        <w:t xml:space="preserve">acumulado, en menos de tres (3) años, suspensiones que, sumadas, superaban los veinticuatro (24) meses. </w:t>
      </w:r>
    </w:p>
    <w:p w:rsidR="00580B7E" w:rsidRPr="008B6F32" w:rsidRDefault="00580B7E" w:rsidP="00580B7E">
      <w:pPr>
        <w:pStyle w:val="Prrafodelista"/>
        <w:rPr>
          <w:rFonts w:ascii="Tahoma" w:hAnsi="Tahoma" w:cs="Tahoma"/>
          <w:color w:val="000000" w:themeColor="text1"/>
          <w:sz w:val="20"/>
        </w:rPr>
      </w:pPr>
    </w:p>
    <w:p w:rsidR="00580B7E" w:rsidRPr="008B6F32" w:rsidRDefault="00580B7E" w:rsidP="00580B7E">
      <w:pPr>
        <w:numPr>
          <w:ilvl w:val="0"/>
          <w:numId w:val="5"/>
        </w:numPr>
        <w:tabs>
          <w:tab w:val="clear" w:pos="360"/>
        </w:tabs>
        <w:ind w:left="567" w:hanging="567"/>
        <w:jc w:val="both"/>
        <w:rPr>
          <w:rFonts w:ascii="Tahoma" w:hAnsi="Tahoma" w:cs="Tahoma"/>
          <w:color w:val="000000" w:themeColor="text1"/>
          <w:sz w:val="20"/>
          <w:szCs w:val="20"/>
        </w:rPr>
      </w:pPr>
      <w:r w:rsidRPr="008B6F32">
        <w:rPr>
          <w:rFonts w:ascii="Tahoma" w:hAnsi="Tahoma" w:cs="Tahoma"/>
          <w:sz w:val="20"/>
          <w:szCs w:val="20"/>
          <w:lang w:val="es-MX"/>
        </w:rPr>
        <w:t xml:space="preserve">Atendiendo a lo indicado, y considerando que la sanción administrativa de inhabilitación definitiva supone la </w:t>
      </w:r>
      <w:r w:rsidRPr="008B6F32">
        <w:rPr>
          <w:rFonts w:ascii="Tahoma" w:hAnsi="Tahoma" w:cs="Tahoma"/>
          <w:sz w:val="20"/>
          <w:szCs w:val="20"/>
          <w:u w:val="single"/>
          <w:lang w:val="es-MX"/>
        </w:rPr>
        <w:t>privación permanente</w:t>
      </w:r>
      <w:r w:rsidRPr="008B6F32">
        <w:rPr>
          <w:rFonts w:ascii="Tahoma" w:hAnsi="Tahoma" w:cs="Tahoma"/>
          <w:sz w:val="20"/>
          <w:szCs w:val="20"/>
          <w:lang w:val="es-MX"/>
        </w:rPr>
        <w:t xml:space="preserve"> en los derechos del infractor </w:t>
      </w:r>
      <w:r w:rsidRPr="008B6F32">
        <w:rPr>
          <w:rFonts w:ascii="Tahoma" w:hAnsi="Tahoma" w:cs="Tahoma"/>
          <w:sz w:val="20"/>
          <w:szCs w:val="20"/>
        </w:rPr>
        <w:t>para participar en procesos de selección y contratar con el Estado,</w:t>
      </w:r>
      <w:r w:rsidRPr="008B6F32">
        <w:rPr>
          <w:rFonts w:ascii="Tahoma" w:hAnsi="Tahoma" w:cs="Tahoma"/>
          <w:sz w:val="20"/>
          <w:szCs w:val="20"/>
          <w:lang w:val="es-MX"/>
        </w:rPr>
        <w:t xml:space="preserve"> carece de sentido, en caso llegue a determinarse una nueva responsabilidad, imponer </w:t>
      </w:r>
      <w:r>
        <w:rPr>
          <w:rFonts w:ascii="Tahoma" w:hAnsi="Tahoma" w:cs="Tahoma"/>
          <w:sz w:val="20"/>
          <w:szCs w:val="20"/>
          <w:lang w:val="es-MX"/>
        </w:rPr>
        <w:t>al Postor</w:t>
      </w:r>
      <w:r w:rsidRPr="008B6F32">
        <w:rPr>
          <w:rFonts w:ascii="Tahoma" w:hAnsi="Tahoma" w:cs="Tahoma"/>
          <w:sz w:val="20"/>
          <w:szCs w:val="20"/>
          <w:lang w:val="es-MX"/>
        </w:rPr>
        <w:t xml:space="preserve"> una sanción adicional. En consecuencia, resulta irrelevante el análisis y posterior pronunciamiento que pudiera efectuar el Tribunal sobre la configuración de la infracción denunciada en el presente caso</w:t>
      </w:r>
      <w:r w:rsidRPr="008B6F32">
        <w:rPr>
          <w:rFonts w:ascii="Tahoma" w:hAnsi="Tahoma" w:cs="Tahoma"/>
          <w:sz w:val="20"/>
          <w:szCs w:val="20"/>
        </w:rPr>
        <w:t>.</w:t>
      </w:r>
      <w:r w:rsidRPr="008B6F32">
        <w:rPr>
          <w:rFonts w:ascii="Tahoma" w:hAnsi="Tahoma" w:cs="Tahoma"/>
          <w:sz w:val="20"/>
          <w:szCs w:val="20"/>
          <w:lang w:val="es-MX"/>
        </w:rPr>
        <w:t xml:space="preserve"> </w:t>
      </w:r>
    </w:p>
    <w:p w:rsidR="00C5208F" w:rsidRPr="002559DE" w:rsidRDefault="00C5208F" w:rsidP="00C5208F">
      <w:pPr>
        <w:ind w:firstLine="426"/>
        <w:jc w:val="both"/>
        <w:rPr>
          <w:rFonts w:ascii="Tahoma" w:hAnsi="Tahoma" w:cs="Tahoma"/>
          <w:sz w:val="20"/>
          <w:szCs w:val="20"/>
        </w:rPr>
      </w:pPr>
    </w:p>
    <w:p w:rsidR="00C5208F" w:rsidRPr="002559DE" w:rsidRDefault="00C5208F" w:rsidP="00C5208F">
      <w:pPr>
        <w:ind w:firstLine="567"/>
        <w:jc w:val="both"/>
        <w:rPr>
          <w:rFonts w:ascii="Tahoma" w:hAnsi="Tahoma" w:cs="Tahoma"/>
          <w:b/>
          <w:sz w:val="20"/>
          <w:szCs w:val="20"/>
        </w:rPr>
      </w:pPr>
      <w:r w:rsidRPr="002559DE">
        <w:rPr>
          <w:rFonts w:ascii="Tahoma" w:hAnsi="Tahoma" w:cs="Tahoma"/>
          <w:b/>
          <w:sz w:val="20"/>
          <w:szCs w:val="20"/>
        </w:rPr>
        <w:t xml:space="preserve">LA SALA RESUELVE: </w:t>
      </w:r>
    </w:p>
    <w:p w:rsidR="00C5208F" w:rsidRPr="002559DE" w:rsidRDefault="00C5208F" w:rsidP="00C5208F">
      <w:pPr>
        <w:jc w:val="both"/>
        <w:rPr>
          <w:rFonts w:ascii="Tahoma" w:hAnsi="Tahoma" w:cs="Tahoma"/>
          <w:snapToGrid w:val="0"/>
          <w:sz w:val="20"/>
          <w:szCs w:val="20"/>
        </w:rPr>
      </w:pPr>
    </w:p>
    <w:p w:rsidR="00580B7E" w:rsidRPr="008B6F32" w:rsidRDefault="00580B7E" w:rsidP="00580B7E">
      <w:pPr>
        <w:pStyle w:val="Prrafodelista"/>
        <w:numPr>
          <w:ilvl w:val="0"/>
          <w:numId w:val="4"/>
        </w:numPr>
        <w:ind w:left="540" w:hanging="567"/>
        <w:jc w:val="both"/>
        <w:rPr>
          <w:rFonts w:ascii="Tahoma" w:hAnsi="Tahoma" w:cs="Tahoma"/>
          <w:sz w:val="20"/>
        </w:rPr>
      </w:pPr>
      <w:r w:rsidRPr="008B6F32">
        <w:rPr>
          <w:rFonts w:ascii="Tahoma" w:hAnsi="Tahoma" w:cs="Tahoma"/>
          <w:sz w:val="20"/>
        </w:rPr>
        <w:t>Declarar que carece de objeto que el Tribunal emita pronunciamiento respecto a la imposición de sanción contra la</w:t>
      </w:r>
      <w:r w:rsidRPr="008B6F32">
        <w:rPr>
          <w:rFonts w:ascii="Tahoma" w:hAnsi="Tahoma" w:cs="Tahoma"/>
          <w:color w:val="000000" w:themeColor="text1"/>
          <w:sz w:val="20"/>
        </w:rPr>
        <w:t xml:space="preserve"> empresa </w:t>
      </w:r>
      <w:r w:rsidRPr="008B6F32">
        <w:rPr>
          <w:rFonts w:ascii="Tahoma" w:hAnsi="Tahoma" w:cs="Tahoma"/>
          <w:b/>
          <w:sz w:val="20"/>
        </w:rPr>
        <w:t>GRUPO INTERNACIONAL SERVICE SAC</w:t>
      </w:r>
      <w:r w:rsidRPr="008B6F32">
        <w:rPr>
          <w:rFonts w:ascii="Tahoma" w:hAnsi="Tahoma" w:cs="Tahoma"/>
          <w:sz w:val="20"/>
        </w:rPr>
        <w:t xml:space="preserve">, por la comisión de la infracción </w:t>
      </w:r>
      <w:r w:rsidRPr="008B6F32">
        <w:rPr>
          <w:rFonts w:ascii="Tahoma" w:eastAsia="MS Mincho" w:hAnsi="Tahoma" w:cs="Tahoma"/>
          <w:color w:val="000000" w:themeColor="text1"/>
          <w:sz w:val="20"/>
        </w:rPr>
        <w:t>tipificada</w:t>
      </w:r>
      <w:r w:rsidRPr="008B6F32">
        <w:rPr>
          <w:rFonts w:ascii="Tahoma" w:hAnsi="Tahoma" w:cs="Tahoma"/>
          <w:sz w:val="20"/>
        </w:rPr>
        <w:t xml:space="preserve"> en el numeral 1) del artículo 294 del Reglamento de la Ley de Contrataciones y Adquisiciones del Estado, aprobado por Decreto Supremo № 084-2004-PCM</w:t>
      </w:r>
      <w:r w:rsidRPr="008B6F32">
        <w:rPr>
          <w:rFonts w:ascii="Tahoma" w:eastAsia="MS Mincho" w:hAnsi="Tahoma" w:cs="Tahoma"/>
          <w:color w:val="000000" w:themeColor="text1"/>
          <w:sz w:val="20"/>
        </w:rPr>
        <w:t>.</w:t>
      </w:r>
    </w:p>
    <w:p w:rsidR="00C5208F" w:rsidRPr="002559DE" w:rsidRDefault="00C5208F" w:rsidP="00C5208F">
      <w:pPr>
        <w:pStyle w:val="Prrafodelista"/>
        <w:ind w:left="426"/>
        <w:jc w:val="both"/>
        <w:rPr>
          <w:rFonts w:ascii="Tahoma" w:hAnsi="Tahoma" w:cs="Tahoma"/>
          <w:color w:val="000000" w:themeColor="text1"/>
          <w:sz w:val="20"/>
        </w:rPr>
      </w:pPr>
    </w:p>
    <w:p w:rsidR="00C5208F" w:rsidRPr="002559DE" w:rsidRDefault="00C5208F" w:rsidP="00C5208F">
      <w:pPr>
        <w:pStyle w:val="Textoindependiente21"/>
        <w:ind w:firstLine="567"/>
        <w:rPr>
          <w:rFonts w:cs="Tahoma"/>
          <w:sz w:val="20"/>
        </w:rPr>
      </w:pPr>
      <w:r w:rsidRPr="002559DE">
        <w:rPr>
          <w:rFonts w:cs="Tahoma"/>
          <w:sz w:val="20"/>
        </w:rPr>
        <w:t>Regístrese, comuníquese y publíquese.</w:t>
      </w: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z w:val="20"/>
          <w:szCs w:val="20"/>
        </w:rPr>
      </w:pPr>
    </w:p>
    <w:p w:rsidR="00C5208F" w:rsidRPr="002559DE" w:rsidRDefault="00C5208F" w:rsidP="00C5208F">
      <w:pPr>
        <w:jc w:val="center"/>
        <w:rPr>
          <w:rFonts w:ascii="Tahoma" w:hAnsi="Tahoma" w:cs="Tahoma"/>
          <w:b/>
          <w:shadow/>
          <w:sz w:val="20"/>
          <w:szCs w:val="20"/>
          <w:lang w:val="pt-BR"/>
        </w:rPr>
      </w:pPr>
      <w:r w:rsidRPr="002559DE">
        <w:rPr>
          <w:rFonts w:ascii="Tahoma" w:hAnsi="Tahoma" w:cs="Tahoma"/>
          <w:b/>
          <w:shadow/>
          <w:sz w:val="20"/>
          <w:szCs w:val="20"/>
          <w:lang w:val="pt-BR"/>
        </w:rPr>
        <w:t>PRESIDENTE</w:t>
      </w:r>
    </w:p>
    <w:p w:rsidR="00C5208F" w:rsidRPr="002559DE" w:rsidRDefault="00C5208F" w:rsidP="00C5208F">
      <w:pPr>
        <w:ind w:firstLine="708"/>
        <w:rPr>
          <w:rFonts w:ascii="Tahoma" w:hAnsi="Tahoma" w:cs="Tahoma"/>
          <w:b/>
          <w:shadow/>
          <w:sz w:val="20"/>
          <w:szCs w:val="20"/>
          <w:lang w:val="pt-BR"/>
        </w:rPr>
      </w:pPr>
    </w:p>
    <w:p w:rsidR="00C5208F" w:rsidRPr="002559DE" w:rsidRDefault="00C5208F" w:rsidP="00C5208F">
      <w:pPr>
        <w:ind w:firstLine="708"/>
        <w:rPr>
          <w:rFonts w:ascii="Tahoma" w:hAnsi="Tahoma" w:cs="Tahoma"/>
          <w:b/>
          <w:shadow/>
          <w:sz w:val="20"/>
          <w:szCs w:val="20"/>
          <w:lang w:val="pt-BR"/>
        </w:rPr>
      </w:pPr>
      <w:r w:rsidRPr="002559DE">
        <w:rPr>
          <w:rFonts w:ascii="Tahoma" w:hAnsi="Tahoma" w:cs="Tahoma"/>
          <w:b/>
          <w:shadow/>
          <w:sz w:val="20"/>
          <w:szCs w:val="20"/>
          <w:lang w:val="pt-BR"/>
        </w:rPr>
        <w:t xml:space="preserve">VOCAL           </w:t>
      </w:r>
      <w:r w:rsidRPr="002559DE">
        <w:rPr>
          <w:rFonts w:ascii="Tahoma" w:hAnsi="Tahoma" w:cs="Tahoma"/>
          <w:b/>
          <w:shadow/>
          <w:sz w:val="20"/>
          <w:szCs w:val="20"/>
          <w:lang w:val="pt-BR"/>
        </w:rPr>
        <w:tab/>
      </w:r>
      <w:r w:rsidRPr="002559DE">
        <w:rPr>
          <w:rFonts w:ascii="Tahoma" w:hAnsi="Tahoma" w:cs="Tahoma"/>
          <w:b/>
          <w:shadow/>
          <w:sz w:val="20"/>
          <w:szCs w:val="20"/>
          <w:lang w:val="pt-BR"/>
        </w:rPr>
        <w:tab/>
        <w:t xml:space="preserve">                                                                 VOCAL</w:t>
      </w:r>
    </w:p>
    <w:p w:rsidR="00C5208F" w:rsidRPr="002559DE" w:rsidRDefault="00C5208F" w:rsidP="00C5208F">
      <w:pPr>
        <w:rPr>
          <w:rFonts w:ascii="Tahoma" w:hAnsi="Tahoma" w:cs="Tahoma"/>
          <w:sz w:val="20"/>
          <w:szCs w:val="20"/>
          <w:lang w:val="pt-BR"/>
        </w:rPr>
      </w:pPr>
    </w:p>
    <w:p w:rsidR="00C5208F" w:rsidRPr="002559DE" w:rsidRDefault="00C5208F" w:rsidP="00C5208F">
      <w:pPr>
        <w:rPr>
          <w:rFonts w:ascii="Tahoma" w:hAnsi="Tahoma" w:cs="Tahoma"/>
          <w:sz w:val="20"/>
          <w:szCs w:val="20"/>
          <w:lang w:val="pt-BR"/>
        </w:rPr>
      </w:pPr>
    </w:p>
    <w:p w:rsidR="00C5208F" w:rsidRPr="002559DE" w:rsidRDefault="00C5208F" w:rsidP="00C5208F">
      <w:pPr>
        <w:jc w:val="both"/>
        <w:rPr>
          <w:rFonts w:ascii="Tahoma" w:hAnsi="Tahoma" w:cs="Tahoma"/>
          <w:sz w:val="20"/>
          <w:szCs w:val="20"/>
          <w:lang w:val="pt-BR"/>
        </w:rPr>
      </w:pPr>
      <w:r w:rsidRPr="002559DE">
        <w:rPr>
          <w:rFonts w:ascii="Tahoma" w:hAnsi="Tahoma" w:cs="Tahoma"/>
          <w:sz w:val="20"/>
          <w:szCs w:val="20"/>
          <w:lang w:val="pt-BR"/>
        </w:rPr>
        <w:t>ss.</w:t>
      </w:r>
    </w:p>
    <w:p w:rsidR="00C5208F" w:rsidRPr="002559DE" w:rsidRDefault="00C5208F" w:rsidP="00C5208F">
      <w:pPr>
        <w:pStyle w:val="Textoindependiente21"/>
        <w:tabs>
          <w:tab w:val="left" w:pos="5250"/>
        </w:tabs>
        <w:rPr>
          <w:rFonts w:cs="Tahoma"/>
          <w:sz w:val="20"/>
          <w:lang w:val="pt-BR"/>
        </w:rPr>
      </w:pPr>
      <w:r w:rsidRPr="002559DE">
        <w:rPr>
          <w:rFonts w:cs="Tahoma"/>
          <w:sz w:val="20"/>
          <w:lang w:val="pt-BR"/>
        </w:rPr>
        <w:t>Basulto Liewald.</w:t>
      </w:r>
    </w:p>
    <w:p w:rsidR="00C5208F" w:rsidRPr="002559DE" w:rsidRDefault="00C5208F" w:rsidP="00C5208F">
      <w:pPr>
        <w:pStyle w:val="Textoindependiente21"/>
        <w:tabs>
          <w:tab w:val="left" w:pos="5250"/>
        </w:tabs>
        <w:rPr>
          <w:rFonts w:cs="Tahoma"/>
          <w:sz w:val="20"/>
          <w:lang w:val="pt-BR"/>
        </w:rPr>
      </w:pPr>
      <w:r w:rsidRPr="002559DE">
        <w:rPr>
          <w:rFonts w:cs="Tahoma"/>
          <w:sz w:val="20"/>
          <w:lang w:val="en-US"/>
        </w:rPr>
        <w:t>Ramírez Maynetto.</w:t>
      </w:r>
    </w:p>
    <w:p w:rsidR="00C5208F" w:rsidRPr="002559DE" w:rsidRDefault="00C5208F" w:rsidP="00C5208F">
      <w:pPr>
        <w:pStyle w:val="Textoindependiente21"/>
        <w:rPr>
          <w:rFonts w:cs="Tahoma"/>
          <w:sz w:val="20"/>
        </w:rPr>
      </w:pPr>
      <w:r w:rsidRPr="002559DE">
        <w:rPr>
          <w:rFonts w:cs="Tahoma"/>
          <w:sz w:val="20"/>
        </w:rPr>
        <w:t>Fonseca Oliveira.</w:t>
      </w:r>
    </w:p>
    <w:p w:rsidR="00C5208F" w:rsidRPr="002559DE" w:rsidRDefault="00C5208F" w:rsidP="00C5208F">
      <w:pPr>
        <w:rPr>
          <w:rFonts w:ascii="Tahoma" w:hAnsi="Tahoma" w:cs="Tahoma"/>
          <w:sz w:val="20"/>
          <w:szCs w:val="20"/>
        </w:rPr>
      </w:pPr>
    </w:p>
    <w:p w:rsidR="00C5208F" w:rsidRPr="002559DE" w:rsidRDefault="00C5208F" w:rsidP="00C5208F">
      <w:pPr>
        <w:rPr>
          <w:sz w:val="20"/>
          <w:szCs w:val="20"/>
        </w:rPr>
      </w:pPr>
    </w:p>
    <w:p w:rsidR="00C5208F" w:rsidRPr="002559DE" w:rsidRDefault="00C5208F" w:rsidP="00C5208F">
      <w:pPr>
        <w:rPr>
          <w:sz w:val="20"/>
          <w:szCs w:val="20"/>
        </w:rPr>
      </w:pPr>
    </w:p>
    <w:p w:rsidR="00C5208F" w:rsidRPr="002559DE" w:rsidRDefault="00C5208F" w:rsidP="00C5208F">
      <w:pPr>
        <w:rPr>
          <w:sz w:val="20"/>
          <w:szCs w:val="20"/>
        </w:rPr>
      </w:pPr>
    </w:p>
    <w:p w:rsidR="001D5C36" w:rsidRDefault="00B35AB2"/>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AB2" w:rsidRDefault="00B35AB2" w:rsidP="00C5208F">
      <w:r>
        <w:separator/>
      </w:r>
    </w:p>
  </w:endnote>
  <w:endnote w:type="continuationSeparator" w:id="1">
    <w:p w:rsidR="00B35AB2" w:rsidRDefault="00B35AB2" w:rsidP="00C520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6F3FB4">
            <w:pPr>
              <w:pStyle w:val="Piedepgina"/>
              <w:jc w:val="center"/>
            </w:pPr>
            <w:r>
              <w:t xml:space="preserve">Página </w:t>
            </w:r>
            <w:r w:rsidR="00097C2F">
              <w:rPr>
                <w:b/>
              </w:rPr>
              <w:fldChar w:fldCharType="begin"/>
            </w:r>
            <w:r>
              <w:rPr>
                <w:b/>
              </w:rPr>
              <w:instrText>PAGE</w:instrText>
            </w:r>
            <w:r w:rsidR="00097C2F">
              <w:rPr>
                <w:b/>
              </w:rPr>
              <w:fldChar w:fldCharType="separate"/>
            </w:r>
            <w:r w:rsidR="005E44FE">
              <w:rPr>
                <w:b/>
                <w:noProof/>
              </w:rPr>
              <w:t>1</w:t>
            </w:r>
            <w:r w:rsidR="00097C2F">
              <w:rPr>
                <w:b/>
              </w:rPr>
              <w:fldChar w:fldCharType="end"/>
            </w:r>
            <w:r>
              <w:t xml:space="preserve"> de </w:t>
            </w:r>
            <w:r w:rsidR="00097C2F">
              <w:rPr>
                <w:b/>
              </w:rPr>
              <w:fldChar w:fldCharType="begin"/>
            </w:r>
            <w:r>
              <w:rPr>
                <w:b/>
              </w:rPr>
              <w:instrText>NUMPAGES</w:instrText>
            </w:r>
            <w:r w:rsidR="00097C2F">
              <w:rPr>
                <w:b/>
              </w:rPr>
              <w:fldChar w:fldCharType="separate"/>
            </w:r>
            <w:r w:rsidR="005E44FE">
              <w:rPr>
                <w:b/>
                <w:noProof/>
              </w:rPr>
              <w:t>4</w:t>
            </w:r>
            <w:r w:rsidR="00097C2F">
              <w:rPr>
                <w:b/>
              </w:rPr>
              <w:fldChar w:fldCharType="end"/>
            </w:r>
          </w:p>
        </w:sdtContent>
      </w:sdt>
    </w:sdtContent>
  </w:sdt>
  <w:p w:rsidR="0035353E" w:rsidRDefault="00B35AB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AB2" w:rsidRDefault="00B35AB2" w:rsidP="00C5208F">
      <w:r>
        <w:separator/>
      </w:r>
    </w:p>
  </w:footnote>
  <w:footnote w:type="continuationSeparator" w:id="1">
    <w:p w:rsidR="00B35AB2" w:rsidRDefault="00B35AB2" w:rsidP="00C5208F">
      <w:r>
        <w:continuationSeparator/>
      </w:r>
    </w:p>
  </w:footnote>
  <w:footnote w:id="2">
    <w:p w:rsidR="00580B7E" w:rsidRDefault="00580B7E" w:rsidP="00580B7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580B7E" w:rsidRDefault="00580B7E" w:rsidP="00580B7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580B7E" w:rsidRDefault="00580B7E" w:rsidP="00580B7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580B7E" w:rsidRDefault="00580B7E" w:rsidP="00580B7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1) No mantengan su oferta hasta el otorgamiento de la Buena Pro y, de resultar ganadores hasta la suscripción del contrato; no suscriban injustificadamente el contrato, o no reciban injustificadamente la orden de compra o de servicio emitida a su favor;</w:t>
      </w:r>
    </w:p>
    <w:p w:rsidR="00580B7E" w:rsidRDefault="00580B7E" w:rsidP="00580B7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4FE" w:rsidRDefault="005E44FE" w:rsidP="005E44FE">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5E44FE" w:rsidRDefault="005E44FE" w:rsidP="005E44FE">
    <w:pPr>
      <w:pStyle w:val="Encabezado"/>
      <w:jc w:val="center"/>
      <w:rPr>
        <w:rFonts w:ascii="Monotype Corsiva" w:hAnsi="Monotype Corsiva"/>
        <w:b/>
        <w:sz w:val="44"/>
        <w:szCs w:val="44"/>
      </w:rPr>
    </w:pPr>
  </w:p>
  <w:p w:rsidR="005E44FE" w:rsidRDefault="005E44FE" w:rsidP="005E44FE">
    <w:pPr>
      <w:pStyle w:val="Encabezado"/>
      <w:jc w:val="center"/>
      <w:rPr>
        <w:rFonts w:ascii="Monotype Corsiva" w:hAnsi="Monotype Corsiva"/>
        <w:b/>
        <w:sz w:val="44"/>
        <w:szCs w:val="44"/>
      </w:rPr>
    </w:pPr>
  </w:p>
  <w:p w:rsidR="005E44FE" w:rsidRDefault="005E44FE" w:rsidP="005E44FE">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090-2011-TC-S1</w:t>
    </w:r>
  </w:p>
  <w:p w:rsidR="005E44FE" w:rsidRDefault="005E44F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610B"/>
    <w:multiLevelType w:val="hybridMultilevel"/>
    <w:tmpl w:val="7BBEC6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5E1931F5"/>
    <w:multiLevelType w:val="hybridMultilevel"/>
    <w:tmpl w:val="453A3664"/>
    <w:lvl w:ilvl="0" w:tplc="0E60C380">
      <w:start w:val="1"/>
      <w:numFmt w:val="decimal"/>
      <w:lvlText w:val="%1."/>
      <w:lvlJc w:val="left"/>
      <w:pPr>
        <w:tabs>
          <w:tab w:val="num" w:pos="360"/>
        </w:tabs>
        <w:ind w:left="360" w:hanging="360"/>
      </w:pPr>
      <w:rPr>
        <w:rFonts w:ascii="Tahoma" w:hAnsi="Tahoma" w:cs="Tahoma" w:hint="default"/>
        <w:b w:val="0"/>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1663834"/>
    <w:multiLevelType w:val="hybridMultilevel"/>
    <w:tmpl w:val="4428360C"/>
    <w:lvl w:ilvl="0" w:tplc="C32AC72C">
      <w:start w:val="1"/>
      <w:numFmt w:val="decimal"/>
      <w:lvlText w:val="%1."/>
      <w:lvlJc w:val="left"/>
      <w:pPr>
        <w:tabs>
          <w:tab w:val="num" w:pos="1164"/>
        </w:tabs>
        <w:ind w:left="1164" w:hanging="454"/>
      </w:pPr>
      <w:rPr>
        <w:rFonts w:ascii="Tahoma" w:hAnsi="Tahoma" w:cs="Tahoma" w:hint="default"/>
        <w:b/>
        <w:i w:val="0"/>
        <w:shadow/>
        <w:emboss w:val="0"/>
        <w:imprint w:val="0"/>
        <w:sz w:val="20"/>
        <w:szCs w:val="20"/>
        <w:u w:color="FFFFFF"/>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78E003B4"/>
    <w:multiLevelType w:val="hybridMultilevel"/>
    <w:tmpl w:val="69D8D97E"/>
    <w:lvl w:ilvl="0" w:tplc="59A46B56">
      <w:start w:val="1"/>
      <w:numFmt w:val="decimal"/>
      <w:lvlText w:val="%1."/>
      <w:lvlJc w:val="left"/>
      <w:pPr>
        <w:ind w:left="720" w:hanging="360"/>
      </w:pPr>
      <w:rPr>
        <w:rFonts w:ascii="Tahoma" w:hAnsi="Tahoma" w:cs="Tahoma" w:hint="default"/>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C5208F"/>
    <w:rsid w:val="00097C2F"/>
    <w:rsid w:val="00186302"/>
    <w:rsid w:val="00196655"/>
    <w:rsid w:val="003C7396"/>
    <w:rsid w:val="00496AD0"/>
    <w:rsid w:val="00580B7E"/>
    <w:rsid w:val="005E44FE"/>
    <w:rsid w:val="006F3FB4"/>
    <w:rsid w:val="007F7661"/>
    <w:rsid w:val="00A71A4A"/>
    <w:rsid w:val="00A72345"/>
    <w:rsid w:val="00A72A21"/>
    <w:rsid w:val="00B35AB2"/>
    <w:rsid w:val="00C24214"/>
    <w:rsid w:val="00C5208F"/>
    <w:rsid w:val="00C974D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08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5208F"/>
    <w:pPr>
      <w:spacing w:after="120"/>
    </w:pPr>
    <w:rPr>
      <w:sz w:val="16"/>
      <w:szCs w:val="16"/>
      <w:lang w:val="es-PE"/>
    </w:rPr>
  </w:style>
  <w:style w:type="character" w:customStyle="1" w:styleId="Textoindependiente3Car">
    <w:name w:val="Texto independiente 3 Car"/>
    <w:basedOn w:val="Fuentedeprrafopredeter"/>
    <w:link w:val="Textoindependiente3"/>
    <w:rsid w:val="00C5208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C5208F"/>
    <w:pPr>
      <w:jc w:val="both"/>
    </w:pPr>
    <w:rPr>
      <w:rFonts w:ascii="Tahoma" w:hAnsi="Tahoma"/>
      <w:sz w:val="22"/>
      <w:szCs w:val="20"/>
    </w:rPr>
  </w:style>
  <w:style w:type="paragraph" w:styleId="Prrafodelista">
    <w:name w:val="List Paragraph"/>
    <w:basedOn w:val="Normal"/>
    <w:uiPriority w:val="34"/>
    <w:qFormat/>
    <w:rsid w:val="00C5208F"/>
    <w:pPr>
      <w:widowControl w:val="0"/>
      <w:suppressAutoHyphens/>
      <w:ind w:left="708"/>
    </w:pPr>
    <w:rPr>
      <w:szCs w:val="20"/>
      <w:lang w:val="es-ES_tradnl"/>
    </w:rPr>
  </w:style>
  <w:style w:type="paragraph" w:styleId="Piedepgina">
    <w:name w:val="footer"/>
    <w:basedOn w:val="Normal"/>
    <w:link w:val="PiedepginaCar"/>
    <w:uiPriority w:val="99"/>
    <w:unhideWhenUsed/>
    <w:rsid w:val="00C5208F"/>
    <w:pPr>
      <w:tabs>
        <w:tab w:val="center" w:pos="4252"/>
        <w:tab w:val="right" w:pos="8504"/>
      </w:tabs>
    </w:pPr>
  </w:style>
  <w:style w:type="character" w:customStyle="1" w:styleId="PiedepginaCar">
    <w:name w:val="Pie de página Car"/>
    <w:basedOn w:val="Fuentedeprrafopredeter"/>
    <w:link w:val="Piedepgina"/>
    <w:uiPriority w:val="99"/>
    <w:rsid w:val="00C5208F"/>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w:basedOn w:val="Normal"/>
    <w:link w:val="TextonotapieCar"/>
    <w:rsid w:val="00C5208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w:basedOn w:val="Fuentedeprrafopredeter"/>
    <w:link w:val="Textonotapie"/>
    <w:rsid w:val="00C5208F"/>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C5208F"/>
    <w:rPr>
      <w:rFonts w:cs="Times New Roman"/>
      <w:vertAlign w:val="superscript"/>
    </w:rPr>
  </w:style>
  <w:style w:type="paragraph" w:styleId="Ttulo">
    <w:name w:val="Title"/>
    <w:basedOn w:val="Normal"/>
    <w:next w:val="Normal"/>
    <w:link w:val="TtuloCar"/>
    <w:uiPriority w:val="10"/>
    <w:qFormat/>
    <w:rsid w:val="00186302"/>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186302"/>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5E44FE"/>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5E44F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85137847">
      <w:bodyDiv w:val="1"/>
      <w:marLeft w:val="0"/>
      <w:marRight w:val="0"/>
      <w:marTop w:val="0"/>
      <w:marBottom w:val="0"/>
      <w:divBdr>
        <w:top w:val="none" w:sz="0" w:space="0" w:color="auto"/>
        <w:left w:val="none" w:sz="0" w:space="0" w:color="auto"/>
        <w:bottom w:val="none" w:sz="0" w:space="0" w:color="auto"/>
        <w:right w:val="none" w:sz="0" w:space="0" w:color="auto"/>
      </w:divBdr>
    </w:div>
    <w:div w:id="209678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1371</Words>
  <Characters>7541</Characters>
  <Application>Microsoft Office Word</Application>
  <DocSecurity>0</DocSecurity>
  <Lines>62</Lines>
  <Paragraphs>17</Paragraphs>
  <ScaleCrop>false</ScaleCrop>
  <Company/>
  <LinksUpToDate>false</LinksUpToDate>
  <CharactersWithSpaces>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2011-01-25T16:00:00Z</cp:lastPrinted>
  <dcterms:created xsi:type="dcterms:W3CDTF">2011-01-25T01:19:00Z</dcterms:created>
  <dcterms:modified xsi:type="dcterms:W3CDTF">2011-02-08T15:56:00Z</dcterms:modified>
</cp:coreProperties>
</file>